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BEBCD">
      <w:pPr>
        <w:spacing w:line="578" w:lineRule="exact"/>
        <w:jc w:val="center"/>
        <w:rPr>
          <w:rFonts w:hint="eastAsia" w:asciiTheme="majorEastAsia" w:hAnsiTheme="majorEastAsia" w:eastAsiaTheme="majorEastAsia" w:cstheme="majorEastAsia"/>
          <w:b/>
          <w:bCs/>
          <w:color w:val="auto"/>
          <w:sz w:val="44"/>
          <w:szCs w:val="44"/>
          <w:lang w:eastAsia="zh-CN"/>
        </w:rPr>
      </w:pPr>
      <w:r>
        <w:rPr>
          <w:rFonts w:hint="eastAsia" w:asciiTheme="majorEastAsia" w:hAnsiTheme="majorEastAsia" w:eastAsiaTheme="majorEastAsia" w:cstheme="majorEastAsia"/>
          <w:b/>
          <w:bCs/>
          <w:color w:val="auto"/>
          <w:sz w:val="44"/>
          <w:szCs w:val="44"/>
          <w:lang w:val="en-US" w:eastAsia="zh-CN"/>
        </w:rPr>
        <w:t>离退休人员</w:t>
      </w:r>
      <w:r>
        <w:rPr>
          <w:rFonts w:hint="eastAsia" w:asciiTheme="majorEastAsia" w:hAnsiTheme="majorEastAsia" w:eastAsiaTheme="majorEastAsia" w:cstheme="majorEastAsia"/>
          <w:b/>
          <w:bCs/>
          <w:color w:val="auto"/>
          <w:sz w:val="44"/>
          <w:szCs w:val="44"/>
          <w:lang w:eastAsia="zh-CN"/>
        </w:rPr>
        <w:t>经费</w:t>
      </w:r>
    </w:p>
    <w:p w14:paraId="49C2BBD5">
      <w:pPr>
        <w:spacing w:line="578" w:lineRule="exact"/>
        <w:jc w:val="center"/>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lang w:eastAsia="zh-CN"/>
        </w:rPr>
        <w:t>项目</w:t>
      </w:r>
      <w:r>
        <w:rPr>
          <w:rFonts w:hint="eastAsia" w:asciiTheme="majorEastAsia" w:hAnsiTheme="majorEastAsia" w:eastAsiaTheme="majorEastAsia" w:cstheme="majorEastAsia"/>
          <w:b/>
          <w:bCs/>
          <w:color w:val="auto"/>
          <w:sz w:val="44"/>
          <w:szCs w:val="44"/>
        </w:rPr>
        <w:t>绩效</w:t>
      </w:r>
      <w:r>
        <w:rPr>
          <w:rFonts w:hint="eastAsia" w:asciiTheme="majorEastAsia" w:hAnsiTheme="majorEastAsia" w:eastAsiaTheme="majorEastAsia" w:cstheme="majorEastAsia"/>
          <w:b/>
          <w:bCs/>
          <w:color w:val="auto"/>
          <w:sz w:val="44"/>
          <w:szCs w:val="44"/>
          <w:lang w:eastAsia="zh-CN"/>
        </w:rPr>
        <w:t>评价</w:t>
      </w:r>
      <w:r>
        <w:rPr>
          <w:rFonts w:hint="eastAsia" w:asciiTheme="majorEastAsia" w:hAnsiTheme="majorEastAsia" w:eastAsiaTheme="majorEastAsia" w:cstheme="majorEastAsia"/>
          <w:b/>
          <w:bCs/>
          <w:color w:val="auto"/>
          <w:sz w:val="44"/>
          <w:szCs w:val="44"/>
        </w:rPr>
        <w:t>报告</w:t>
      </w:r>
    </w:p>
    <w:p w14:paraId="1F860F3A">
      <w:pPr>
        <w:spacing w:line="578" w:lineRule="exact"/>
        <w:ind w:firstLine="640" w:firstLineChars="200"/>
        <w:rPr>
          <w:rFonts w:hint="eastAsia" w:ascii="黑体" w:hAnsi="黑体" w:eastAsia="黑体" w:cs="黑体"/>
          <w:color w:val="auto"/>
          <w:sz w:val="32"/>
          <w:szCs w:val="32"/>
        </w:rPr>
      </w:pPr>
    </w:p>
    <w:p w14:paraId="4B962135">
      <w:pPr>
        <w:spacing w:line="578" w:lineRule="exact"/>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14:paraId="6943241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离退休人员经费主要用于西办离退处服务管理的离退休人员的相关支出，离退处负责在七省（区）内跨省安置的西藏离退休人员服务管理、党建及信访工作。协助开展区内代管离退休人员的信息采集、走访慰问、联络帮扶、政策咨询、接待服务及人员去世后的丧葬善后相关工作。承担在七省（区）的西藏离退休人员的安置工作及西藏国有企业退休人员社会化管理工作。配合做好在七省（区）的西藏退役军人的组织关系转接、信息数据采集管理、政策解答、服务管理、党建及信访工作。承担在七省（区）的西藏离退休党员的党建规划、活动阵地建设、服务管理等工作。2025年服务管理在册离退休人员1685名，其中：跨省安置离退休人员1122人，国企社会化移交人员563人。</w:t>
      </w:r>
    </w:p>
    <w:p w14:paraId="46C611F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2025年度，离退休人员经费年初预算资金119.45万元，包含跨省安置差旅费7万元，离退休党员活动经费20.85万元，其他对个人和家庭的补助79.30万元，其他商品和服务支出12.30万元。</w:t>
      </w:r>
    </w:p>
    <w:p w14:paraId="74A6AD49">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rPr>
      </w:pPr>
      <w:r>
        <w:rPr>
          <w:rFonts w:hint="eastAsia" w:ascii="黑体" w:hAnsi="黑体" w:eastAsia="黑体"/>
          <w:color w:val="auto"/>
          <w:sz w:val="32"/>
          <w:szCs w:val="32"/>
        </w:rPr>
        <w:t>绩效评价工作开展情况</w:t>
      </w:r>
    </w:p>
    <w:p w14:paraId="1CAD572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（一）绩效评价目的、对象和范围</w:t>
      </w:r>
    </w:p>
    <w:p w14:paraId="17C3D9A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绩效管理在单位财务管理活动中起着非常重要的作用，目的是达到组织目标共同参与的绩效计划制定、绩效辅导沟通、绩效考核评价、绩效结果应用、绩效目标提升的持续循环过程。</w:t>
      </w:r>
    </w:p>
    <w:p w14:paraId="7939BE4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绩效评价的对象，包括本部门（单位）预算管理的财政性资金和上级政府对下级政府的转移支付资金。</w:t>
      </w:r>
    </w:p>
    <w:p w14:paraId="40EC8E7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凡年度预算安排财政专项资金的支出项目，均列入绩效自评范围，2025年度，离退休人员经费已纳入绩效评价范围。</w:t>
      </w:r>
    </w:p>
    <w:p w14:paraId="52F0728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绩效评价原则、评价指标体系、评价方法及标准</w:t>
      </w:r>
    </w:p>
    <w:p w14:paraId="33F861B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1.评价原则</w:t>
      </w:r>
    </w:p>
    <w:p w14:paraId="5BA4718D">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①</w:t>
      </w:r>
      <w:r>
        <w:rPr>
          <w:rFonts w:hint="eastAsia" w:ascii="仿宋_GB2312" w:hAnsi="仿宋_GB2312" w:eastAsia="仿宋_GB2312" w:cs="仿宋_GB2312"/>
          <w:color w:val="auto"/>
          <w:sz w:val="32"/>
          <w:szCs w:val="32"/>
          <w:lang w:val="en-US" w:eastAsia="zh-CN"/>
        </w:rPr>
        <w:t>一致性原则。在一段连续时间之内，考评的内容和标准、方法具有一致性。</w:t>
      </w:r>
      <w:r>
        <w:rPr>
          <w:rFonts w:hint="default" w:ascii="仿宋_GB2312" w:hAnsi="仿宋_GB2312" w:eastAsia="仿宋_GB2312" w:cs="仿宋_GB2312"/>
          <w:color w:val="auto"/>
          <w:sz w:val="32"/>
          <w:szCs w:val="32"/>
          <w:lang w:val="en-US" w:eastAsia="zh-CN"/>
        </w:rPr>
        <w:t>②</w:t>
      </w:r>
      <w:r>
        <w:rPr>
          <w:rFonts w:hint="eastAsia" w:ascii="仿宋_GB2312" w:hAnsi="仿宋_GB2312" w:eastAsia="仿宋_GB2312" w:cs="仿宋_GB2312"/>
          <w:color w:val="auto"/>
          <w:sz w:val="32"/>
          <w:szCs w:val="32"/>
          <w:lang w:val="en-US" w:eastAsia="zh-CN"/>
        </w:rPr>
        <w:t>客观性原则。考评要客观地反映单位的实际情况，避免由于新近性、偏见等带来的误差。</w:t>
      </w:r>
      <w:r>
        <w:rPr>
          <w:rFonts w:hint="default" w:ascii="仿宋_GB2312" w:hAnsi="仿宋_GB2312" w:eastAsia="仿宋_GB2312" w:cs="仿宋_GB2312"/>
          <w:color w:val="auto"/>
          <w:sz w:val="32"/>
          <w:szCs w:val="32"/>
          <w:lang w:val="en-US" w:eastAsia="zh-CN"/>
        </w:rPr>
        <w:t>③</w:t>
      </w:r>
      <w:r>
        <w:rPr>
          <w:rFonts w:hint="eastAsia" w:ascii="仿宋_GB2312" w:hAnsi="仿宋_GB2312" w:eastAsia="仿宋_GB2312" w:cs="仿宋_GB2312"/>
          <w:color w:val="auto"/>
          <w:sz w:val="32"/>
          <w:szCs w:val="32"/>
          <w:lang w:val="en-US" w:eastAsia="zh-CN"/>
        </w:rPr>
        <w:t>合理性原则。评价指标及分值的分配和评价标准要公正、合理。</w:t>
      </w:r>
    </w:p>
    <w:p w14:paraId="661A9D4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2.评价指标体系</w:t>
      </w:r>
    </w:p>
    <w:p w14:paraId="76D16BB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评价指标是指衡量绩效目标实现程度的考核工具。一级指标可分为产出指标、效益指标及满意度指标。二级指标可分为数量指标、质量指标、时效指标、成本指标、社会效益指标、可持续影响指标、服务满意度指标等。三级指标根据二级指标的内容设置合理的细化指标评价标准。</w:t>
      </w:r>
    </w:p>
    <w:p w14:paraId="4CDC5EE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3.评价方法及标准</w:t>
      </w:r>
    </w:p>
    <w:p w14:paraId="4FF2FCF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在组织实施绩效评价时，要按照定量与定性相结合并以定量为主的原则，设置、选择一定数量且能衡量财政支出实际绩效的具体指标。在设定具体指标的基础上，应对具体指标设置一定的分值（权重）。</w:t>
      </w:r>
    </w:p>
    <w:p w14:paraId="4CD4AF6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绩效评价标准是衡量预算支出绩效目标的标尺和准绳，</w:t>
      </w:r>
      <w:bookmarkStart w:id="0" w:name="_GoBack"/>
      <w:bookmarkEnd w:id="0"/>
      <w:r>
        <w:rPr>
          <w:rFonts w:hint="eastAsia" w:ascii="仿宋_GB2312" w:hAnsi="仿宋_GB2312" w:eastAsia="仿宋_GB2312" w:cs="仿宋_GB2312"/>
          <w:color w:val="auto"/>
          <w:sz w:val="32"/>
          <w:szCs w:val="32"/>
          <w:lang w:val="en-US" w:eastAsia="zh-CN"/>
        </w:rPr>
        <w:t>在评价对象和具体评价指标确定后，应选择合适的评价标准，具体包括计划标准、行业标准、历史标准和其他标准等。</w:t>
      </w:r>
    </w:p>
    <w:p w14:paraId="0C2083D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预算执行率：根据2025年度全年预算总额和执行数，计算执行率（执行数/全年预算总额）。年度总体目标完成情况：对照年初设定的年度总体绩效目标，填报全年实际完成情况。绩效指标完成情况：对照各项三级绩效指标的年度指标值，逐项填写全年实际完成值。其中：（1）定量指标，资金使用填写本部门实际完成数。完成值达到指标值且未超出指标值的30%，记满分；未达到指标值或超出指标值30%以上的部门按完成比例核减分值。即：“未实现目标的”和“年初指标值设定明显偏低的”情形，按照偏离程度适度调减得分值。（2）定性指标，根据“分级分档”原则分别按照指标分值的100～80%(含80%)、80～50%(含50%)、0～50%合理填写得分。</w:t>
      </w:r>
    </w:p>
    <w:p w14:paraId="47271AC2">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color w:val="auto"/>
          <w:sz w:val="32"/>
          <w:szCs w:val="32"/>
        </w:rPr>
      </w:pPr>
      <w:r>
        <w:rPr>
          <w:rFonts w:hint="eastAsia" w:ascii="仿宋_GB2312"/>
          <w:color w:val="auto"/>
          <w:sz w:val="32"/>
          <w:szCs w:val="32"/>
        </w:rPr>
        <w:t>绩效评价工作过程</w:t>
      </w:r>
    </w:p>
    <w:p w14:paraId="7D28F8F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1.前期准备。确定评价对象、成立评价工作组、制订评价方案。</w:t>
      </w:r>
    </w:p>
    <w:p w14:paraId="3BE77A9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2.组织实施。评价数据和资料采集、审核、汇总，或根据情况开展问卷调查，组织人员现场评价和综合评价。</w:t>
      </w:r>
    </w:p>
    <w:p w14:paraId="22BA329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cente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3.撰写评价报告。分析评价数据，得出评价结论，撰写和提交评价报告。</w:t>
      </w:r>
    </w:p>
    <w:p w14:paraId="5EE76639">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color w:val="auto"/>
          <w:sz w:val="32"/>
          <w:szCs w:val="32"/>
        </w:rPr>
      </w:pPr>
      <w:r>
        <w:rPr>
          <w:rFonts w:hint="eastAsia" w:ascii="黑体" w:hAnsi="黑体" w:eastAsia="黑体"/>
          <w:color w:val="auto"/>
          <w:sz w:val="32"/>
          <w:szCs w:val="32"/>
        </w:rPr>
        <w:t>综合评价情况及评价结论</w:t>
      </w:r>
    </w:p>
    <w:p w14:paraId="183DC7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color w:val="auto"/>
          <w:sz w:val="32"/>
          <w:szCs w:val="32"/>
          <w:lang w:eastAsia="zh-CN"/>
        </w:rPr>
        <w:t>“</w:t>
      </w:r>
      <w:r>
        <w:rPr>
          <w:rFonts w:hint="eastAsia" w:ascii="仿宋_GB2312" w:hAnsi="仿宋_GB2312" w:eastAsia="仿宋_GB2312" w:cs="仿宋_GB2312"/>
          <w:color w:val="auto"/>
          <w:sz w:val="32"/>
          <w:szCs w:val="32"/>
          <w:lang w:val="en-US" w:eastAsia="zh-CN"/>
        </w:rPr>
        <w:t>离退休人员经费”项目年初预算数1,194,500.00元，支出数1,117,537.14元，预算指标收回数76,962.86元，该项目总体预算执行率100%。该项目总体评价“优</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，评分情况详见项目支出绩效自评表。</w:t>
      </w:r>
    </w:p>
    <w:p w14:paraId="20E4F1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四、绩效评价指标分析</w:t>
      </w:r>
    </w:p>
    <w:p w14:paraId="50271374">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eastAsia="仿宋_GB2312"/>
          <w:color w:val="auto"/>
          <w:sz w:val="32"/>
          <w:szCs w:val="32"/>
          <w:lang w:eastAsia="zh-CN"/>
        </w:rPr>
      </w:pPr>
      <w:r>
        <w:rPr>
          <w:rFonts w:hint="eastAsia" w:ascii="仿宋_GB2312"/>
          <w:color w:val="auto"/>
          <w:sz w:val="32"/>
          <w:szCs w:val="32"/>
        </w:rPr>
        <w:t>（一）项目决策</w:t>
      </w:r>
      <w:r>
        <w:rPr>
          <w:rFonts w:hint="eastAsia" w:ascii="仿宋_GB2312"/>
          <w:color w:val="auto"/>
          <w:sz w:val="32"/>
          <w:szCs w:val="32"/>
          <w:lang w:eastAsia="zh-CN"/>
        </w:rPr>
        <w:t>情况</w:t>
      </w:r>
    </w:p>
    <w:p w14:paraId="3E744ED5">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color w:val="auto"/>
          <w:sz w:val="32"/>
          <w:szCs w:val="32"/>
        </w:rPr>
      </w:pPr>
      <w:r>
        <w:rPr>
          <w:rFonts w:hint="eastAsia" w:ascii="仿宋_GB2312"/>
          <w:color w:val="auto"/>
          <w:sz w:val="32"/>
          <w:szCs w:val="32"/>
          <w:lang w:eastAsia="zh-CN"/>
        </w:rPr>
        <w:t>为做好西藏跨省安置离退休人员的安置、慰问、服务管理工作，在区党委坚强领导下，在区党委老干局、区</w:t>
      </w:r>
      <w:r>
        <w:rPr>
          <w:rFonts w:hint="eastAsia" w:ascii="仿宋_GB2312"/>
          <w:color w:val="auto"/>
          <w:sz w:val="32"/>
          <w:szCs w:val="32"/>
          <w:lang w:val="en-US" w:eastAsia="zh-CN"/>
        </w:rPr>
        <w:t>医保局、区</w:t>
      </w:r>
      <w:r>
        <w:rPr>
          <w:rFonts w:hint="eastAsia" w:ascii="仿宋_GB2312"/>
          <w:color w:val="auto"/>
          <w:sz w:val="32"/>
          <w:szCs w:val="32"/>
          <w:lang w:eastAsia="zh-CN"/>
        </w:rPr>
        <w:t>人</w:t>
      </w:r>
      <w:r>
        <w:rPr>
          <w:rFonts w:hint="eastAsia" w:ascii="仿宋_GB2312"/>
          <w:color w:val="auto"/>
          <w:sz w:val="32"/>
          <w:szCs w:val="32"/>
          <w:lang w:val="en-US" w:eastAsia="zh-CN"/>
        </w:rPr>
        <w:t>社</w:t>
      </w:r>
      <w:r>
        <w:rPr>
          <w:rFonts w:hint="eastAsia" w:ascii="仿宋_GB2312"/>
          <w:color w:val="auto"/>
          <w:sz w:val="32"/>
          <w:szCs w:val="32"/>
          <w:lang w:eastAsia="zh-CN"/>
        </w:rPr>
        <w:t>厅和西办</w:t>
      </w:r>
      <w:r>
        <w:rPr>
          <w:rFonts w:hint="eastAsia" w:ascii="仿宋_GB2312"/>
          <w:color w:val="auto"/>
          <w:sz w:val="32"/>
          <w:szCs w:val="32"/>
          <w:lang w:val="en-US" w:eastAsia="zh-CN"/>
        </w:rPr>
        <w:t>党组的</w:t>
      </w:r>
      <w:r>
        <w:rPr>
          <w:rFonts w:hint="eastAsia" w:ascii="仿宋_GB2312"/>
          <w:color w:val="auto"/>
          <w:sz w:val="32"/>
          <w:szCs w:val="32"/>
          <w:lang w:eastAsia="zh-CN"/>
        </w:rPr>
        <w:t>指导下，进一步做好西藏跨省安置离退休人员和国企社会化移交人员的服务和管理工作。202</w:t>
      </w:r>
      <w:r>
        <w:rPr>
          <w:rFonts w:hint="eastAsia" w:ascii="仿宋_GB2312"/>
          <w:color w:val="auto"/>
          <w:sz w:val="32"/>
          <w:szCs w:val="32"/>
          <w:lang w:val="en-US" w:eastAsia="zh-CN"/>
        </w:rPr>
        <w:t>5</w:t>
      </w:r>
      <w:r>
        <w:rPr>
          <w:rFonts w:hint="eastAsia" w:ascii="仿宋_GB2312"/>
          <w:color w:val="auto"/>
          <w:sz w:val="32"/>
          <w:szCs w:val="32"/>
          <w:lang w:eastAsia="zh-CN"/>
        </w:rPr>
        <w:t>年度，“离退休人员经费”项目预算</w:t>
      </w:r>
      <w:r>
        <w:rPr>
          <w:rFonts w:hint="eastAsia" w:ascii="仿宋_GB2312"/>
          <w:color w:val="auto"/>
          <w:sz w:val="32"/>
          <w:szCs w:val="32"/>
          <w:lang w:val="en-US" w:eastAsia="zh-CN"/>
        </w:rPr>
        <w:t>119.45万元，主要</w:t>
      </w:r>
      <w:r>
        <w:rPr>
          <w:rFonts w:hint="eastAsia" w:ascii="仿宋_GB2312"/>
          <w:color w:val="auto"/>
          <w:sz w:val="32"/>
          <w:szCs w:val="32"/>
        </w:rPr>
        <w:t>用于</w:t>
      </w:r>
      <w:r>
        <w:rPr>
          <w:rFonts w:hint="eastAsia" w:ascii="仿宋_GB2312"/>
          <w:color w:val="auto"/>
          <w:sz w:val="32"/>
          <w:szCs w:val="32"/>
          <w:lang w:val="en-US" w:eastAsia="zh-CN"/>
        </w:rPr>
        <w:t>西藏</w:t>
      </w:r>
      <w:r>
        <w:rPr>
          <w:rFonts w:hint="eastAsia" w:ascii="仿宋_GB2312"/>
          <w:color w:val="auto"/>
          <w:sz w:val="32"/>
          <w:szCs w:val="32"/>
          <w:lang w:eastAsia="zh-CN"/>
        </w:rPr>
        <w:t>离退休人员的服务管理工作</w:t>
      </w:r>
      <w:r>
        <w:rPr>
          <w:rFonts w:hint="eastAsia" w:ascii="仿宋_GB2312"/>
          <w:color w:val="auto"/>
          <w:sz w:val="32"/>
          <w:szCs w:val="32"/>
        </w:rPr>
        <w:t>。</w:t>
      </w:r>
    </w:p>
    <w:p w14:paraId="7C6264B7">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eastAsia="仿宋_GB2312"/>
          <w:color w:val="auto"/>
          <w:sz w:val="32"/>
          <w:szCs w:val="32"/>
          <w:lang w:eastAsia="zh-CN"/>
        </w:rPr>
      </w:pPr>
      <w:r>
        <w:rPr>
          <w:rFonts w:hint="eastAsia" w:ascii="仿宋_GB2312"/>
          <w:color w:val="auto"/>
          <w:sz w:val="32"/>
          <w:szCs w:val="32"/>
          <w:lang w:eastAsia="zh-CN"/>
        </w:rPr>
        <w:t>（二）项目过程情况</w:t>
      </w:r>
    </w:p>
    <w:p w14:paraId="62E41746">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cs="仿宋_GB2312"/>
          <w:i w:val="0"/>
          <w:caps w:val="0"/>
          <w:color w:val="auto"/>
          <w:spacing w:val="0"/>
          <w:sz w:val="32"/>
          <w:szCs w:val="32"/>
          <w:shd w:val="clear" w:color="auto" w:fill="auto"/>
          <w:lang w:val="en-US" w:eastAsia="zh-CN"/>
        </w:rPr>
      </w:pPr>
      <w:r>
        <w:rPr>
          <w:rFonts w:hint="eastAsia" w:ascii="仿宋_GB2312" w:hAnsi="仿宋_GB2312" w:cs="仿宋_GB2312"/>
          <w:i w:val="0"/>
          <w:caps w:val="0"/>
          <w:color w:val="auto"/>
          <w:spacing w:val="0"/>
          <w:sz w:val="32"/>
          <w:szCs w:val="32"/>
          <w:shd w:val="clear" w:color="auto" w:fill="auto"/>
          <w:lang w:val="en-US" w:eastAsia="zh-CN"/>
        </w:rPr>
        <w:t>我单位认真贯彻落实中央和西藏自治区关于预算绩效管理的有关规定和要求，进一步提高对全面预算绩效管理重要性的认识，将预算绩效管理贯穿于财务收支管理的全过程，从预算绩效目标的设定、项目实施绩效的跟踪、绩效评价等方面加强管理，最大限度地提高财政资金支出的实效性。</w:t>
      </w:r>
    </w:p>
    <w:p w14:paraId="3D7DA6A7">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cs="仿宋_GB2312"/>
          <w:i w:val="0"/>
          <w:caps w:val="0"/>
          <w:color w:val="auto"/>
          <w:spacing w:val="0"/>
          <w:sz w:val="32"/>
          <w:szCs w:val="32"/>
          <w:shd w:val="clear" w:color="auto" w:fill="auto"/>
          <w:lang w:val="en-US" w:eastAsia="zh-CN"/>
        </w:rPr>
      </w:pPr>
      <w:r>
        <w:rPr>
          <w:rFonts w:hint="eastAsia" w:ascii="仿宋_GB2312" w:hAnsi="仿宋_GB2312" w:cs="仿宋_GB2312"/>
          <w:i w:val="0"/>
          <w:caps w:val="0"/>
          <w:color w:val="auto"/>
          <w:spacing w:val="0"/>
          <w:sz w:val="32"/>
          <w:szCs w:val="32"/>
          <w:shd w:val="clear" w:color="auto" w:fill="auto"/>
          <w:lang w:val="en-US" w:eastAsia="zh-CN"/>
        </w:rPr>
        <w:t>我单位进一步加强统筹管理，推动年度内可开展的项目工作，在保证项目实施质量的基础上提高项目实施的质量和进度，项目负责人及处室经办人积极主动实施项目。进一步加强对项目执行情况的跟踪及评价，并及时反馈评价结果，将评价结果运用到工作中，根据绩效评价中发现的问题，对评价结果好的予以重点支持；对绩效评价达不到预期目标或评价结果较差的及时整改。</w:t>
      </w:r>
    </w:p>
    <w:p w14:paraId="28A3E3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color w:val="auto"/>
          <w:sz w:val="32"/>
          <w:szCs w:val="32"/>
        </w:rPr>
      </w:pPr>
      <w:r>
        <w:rPr>
          <w:rFonts w:hint="eastAsia" w:ascii="仿宋_GB2312"/>
          <w:color w:val="auto"/>
          <w:sz w:val="32"/>
          <w:szCs w:val="32"/>
        </w:rPr>
        <w:t>（</w:t>
      </w:r>
      <w:r>
        <w:rPr>
          <w:rFonts w:hint="eastAsia" w:ascii="仿宋_GB2312"/>
          <w:color w:val="auto"/>
          <w:sz w:val="32"/>
          <w:szCs w:val="32"/>
          <w:lang w:eastAsia="zh-CN"/>
        </w:rPr>
        <w:t>三</w:t>
      </w:r>
      <w:r>
        <w:rPr>
          <w:rFonts w:hint="eastAsia" w:ascii="仿宋_GB2312"/>
          <w:color w:val="auto"/>
          <w:sz w:val="32"/>
          <w:szCs w:val="32"/>
        </w:rPr>
        <w:t>）项目产出情况</w:t>
      </w:r>
    </w:p>
    <w:p w14:paraId="76C9A5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default" w:ascii="仿宋_GB2312"/>
          <w:color w:val="auto"/>
          <w:sz w:val="32"/>
          <w:szCs w:val="32"/>
          <w:lang w:val="en-US"/>
        </w:rPr>
      </w:pPr>
      <w:r>
        <w:rPr>
          <w:rFonts w:hint="eastAsia" w:ascii="仿宋_GB2312"/>
          <w:color w:val="auto"/>
          <w:sz w:val="32"/>
          <w:szCs w:val="32"/>
          <w:lang w:eastAsia="zh-CN"/>
        </w:rPr>
        <w:t>项目产出情况分别从数量、质量、时效和成本四方面具体到三级指标评价。</w:t>
      </w:r>
      <w:r>
        <w:rPr>
          <w:rFonts w:hint="eastAsia" w:ascii="仿宋_GB2312"/>
          <w:color w:val="auto"/>
          <w:sz w:val="32"/>
          <w:szCs w:val="32"/>
          <w:lang w:val="en-US" w:eastAsia="zh-CN"/>
        </w:rPr>
        <w:t>离退休人员经费</w:t>
      </w:r>
      <w:r>
        <w:rPr>
          <w:rFonts w:hint="eastAsia" w:ascii="仿宋_GB2312"/>
          <w:color w:val="auto"/>
          <w:sz w:val="32"/>
          <w:szCs w:val="32"/>
          <w:lang w:eastAsia="zh-CN"/>
        </w:rPr>
        <w:t>项目产出</w:t>
      </w:r>
      <w:r>
        <w:rPr>
          <w:rFonts w:hint="eastAsia" w:ascii="仿宋_GB2312"/>
          <w:color w:val="auto"/>
          <w:sz w:val="32"/>
          <w:szCs w:val="32"/>
          <w:lang w:val="en-US" w:eastAsia="zh-CN"/>
        </w:rPr>
        <w:t>评价总分60分，自评得分57.56分，详见项目支出绩效自评表。</w:t>
      </w:r>
    </w:p>
    <w:p w14:paraId="1AFC14AD">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outlineLvl w:val="0"/>
        <w:rPr>
          <w:rFonts w:hint="eastAsia" w:ascii="仿宋_GB2312"/>
          <w:color w:val="auto"/>
          <w:sz w:val="32"/>
          <w:szCs w:val="32"/>
        </w:rPr>
      </w:pPr>
      <w:r>
        <w:rPr>
          <w:rFonts w:hint="eastAsia" w:ascii="仿宋_GB2312"/>
          <w:color w:val="auto"/>
          <w:sz w:val="32"/>
          <w:szCs w:val="32"/>
        </w:rPr>
        <w:t>项目效益</w:t>
      </w:r>
      <w:r>
        <w:rPr>
          <w:rFonts w:hint="eastAsia" w:ascii="仿宋_GB2312"/>
          <w:color w:val="auto"/>
          <w:sz w:val="32"/>
          <w:szCs w:val="32"/>
          <w:lang w:eastAsia="zh-CN"/>
        </w:rPr>
        <w:t>、满意度</w:t>
      </w:r>
      <w:r>
        <w:rPr>
          <w:rFonts w:hint="eastAsia" w:ascii="仿宋_GB2312"/>
          <w:color w:val="auto"/>
          <w:sz w:val="32"/>
          <w:szCs w:val="32"/>
        </w:rPr>
        <w:t>情况</w:t>
      </w:r>
    </w:p>
    <w:p w14:paraId="5CDEE3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default" w:ascii="仿宋_GB2312"/>
          <w:color w:val="auto"/>
          <w:sz w:val="32"/>
          <w:szCs w:val="32"/>
          <w:lang w:val="en-US"/>
        </w:rPr>
      </w:pPr>
      <w:r>
        <w:rPr>
          <w:rFonts w:hint="eastAsia" w:ascii="仿宋_GB2312"/>
          <w:color w:val="auto"/>
          <w:sz w:val="32"/>
          <w:szCs w:val="32"/>
        </w:rPr>
        <w:t>项目效益情况分别从社会效益</w:t>
      </w:r>
      <w:r>
        <w:rPr>
          <w:rFonts w:hint="eastAsia" w:ascii="仿宋_GB2312"/>
          <w:color w:val="auto"/>
          <w:sz w:val="32"/>
          <w:szCs w:val="32"/>
          <w:lang w:eastAsia="zh-CN"/>
        </w:rPr>
        <w:t>、可持续指标</w:t>
      </w:r>
      <w:r>
        <w:rPr>
          <w:rFonts w:hint="eastAsia" w:ascii="仿宋_GB2312"/>
          <w:color w:val="auto"/>
          <w:sz w:val="32"/>
          <w:szCs w:val="32"/>
        </w:rPr>
        <w:t>两方面具体到三级指标评价。</w:t>
      </w:r>
      <w:r>
        <w:rPr>
          <w:rFonts w:hint="eastAsia" w:ascii="仿宋_GB2312"/>
          <w:color w:val="auto"/>
          <w:sz w:val="32"/>
          <w:szCs w:val="32"/>
          <w:lang w:eastAsia="zh-CN"/>
        </w:rPr>
        <w:t>该项目</w:t>
      </w:r>
      <w:r>
        <w:rPr>
          <w:rFonts w:hint="eastAsia" w:ascii="仿宋_GB2312"/>
          <w:color w:val="auto"/>
          <w:sz w:val="32"/>
          <w:szCs w:val="32"/>
        </w:rPr>
        <w:t>效益指标评价总</w:t>
      </w:r>
      <w:r>
        <w:rPr>
          <w:rFonts w:hint="eastAsia" w:ascii="仿宋_GB2312"/>
          <w:color w:val="auto"/>
          <w:sz w:val="32"/>
          <w:szCs w:val="32"/>
          <w:lang w:eastAsia="zh-CN"/>
        </w:rPr>
        <w:t>分</w:t>
      </w:r>
      <w:r>
        <w:rPr>
          <w:rFonts w:hint="eastAsia" w:ascii="仿宋_GB2312"/>
          <w:color w:val="auto"/>
          <w:sz w:val="32"/>
          <w:szCs w:val="32"/>
          <w:lang w:val="en-US" w:eastAsia="zh-CN"/>
        </w:rPr>
        <w:t>20分，自评得分20分</w:t>
      </w:r>
      <w:r>
        <w:rPr>
          <w:rFonts w:hint="eastAsia" w:ascii="仿宋_GB2312"/>
          <w:color w:val="auto"/>
          <w:sz w:val="32"/>
          <w:szCs w:val="32"/>
        </w:rPr>
        <w:t>。</w:t>
      </w:r>
      <w:r>
        <w:rPr>
          <w:rFonts w:hint="eastAsia" w:ascii="仿宋_GB2312"/>
          <w:color w:val="auto"/>
          <w:sz w:val="32"/>
          <w:szCs w:val="32"/>
          <w:lang w:eastAsia="zh-CN"/>
        </w:rPr>
        <w:t>该项目满意度指标总分</w:t>
      </w:r>
      <w:r>
        <w:rPr>
          <w:rFonts w:hint="eastAsia" w:ascii="仿宋_GB2312"/>
          <w:color w:val="auto"/>
          <w:sz w:val="32"/>
          <w:szCs w:val="32"/>
          <w:lang w:val="en-US" w:eastAsia="zh-CN"/>
        </w:rPr>
        <w:t>10分，自评得分10分。详见项目支出绩效自评表。</w:t>
      </w:r>
    </w:p>
    <w:p w14:paraId="6A75E5D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rPr>
        <w:t>五、存在的问题及原因分析</w:t>
      </w:r>
    </w:p>
    <w:p w14:paraId="30C2F2C7">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该项目中的</w:t>
      </w:r>
      <w:r>
        <w:rPr>
          <w:rFonts w:hint="eastAsia" w:ascii="仿宋_GB2312" w:hAnsi="仿宋_GB2312" w:cs="仿宋_GB2312"/>
          <w:sz w:val="32"/>
          <w:szCs w:val="32"/>
          <w:lang w:val="en-US" w:eastAsia="zh-CN"/>
        </w:rPr>
        <w:t>其他商品服务支出预算12.30万元，预算执行数9.82万元，预算执行率79.89%，</w:t>
      </w:r>
      <w:r>
        <w:rPr>
          <w:rFonts w:hint="eastAsia" w:ascii="仿宋_GB2312" w:hAnsi="仿宋_GB2312" w:cs="仿宋_GB2312"/>
          <w:color w:val="auto"/>
          <w:sz w:val="32"/>
          <w:szCs w:val="32"/>
          <w:lang w:val="en-US" w:eastAsia="zh-CN"/>
        </w:rPr>
        <w:t>主要原因是个别</w:t>
      </w:r>
      <w:r>
        <w:rPr>
          <w:rFonts w:hint="eastAsia" w:ascii="仿宋_GB2312" w:hAnsi="仿宋_GB2312" w:cs="仿宋_GB2312"/>
          <w:sz w:val="32"/>
          <w:szCs w:val="32"/>
          <w:lang w:val="en-US" w:eastAsia="zh-CN"/>
        </w:rPr>
        <w:t>联络站下半年才建立，只能组织一次活动，没有实现全年完成两次活动的目标。</w:t>
      </w:r>
      <w:r>
        <w:rPr>
          <w:rFonts w:hint="eastAsia" w:ascii="仿宋_GB2312" w:hAnsi="仿宋_GB2312" w:cs="仿宋_GB2312"/>
          <w:sz w:val="32"/>
          <w:szCs w:val="32"/>
          <w:lang w:eastAsia="zh-CN"/>
        </w:rPr>
        <w:t>该项目中的</w:t>
      </w:r>
      <w:r>
        <w:rPr>
          <w:rFonts w:hint="eastAsia" w:ascii="仿宋_GB2312"/>
          <w:color w:val="auto"/>
          <w:sz w:val="32"/>
          <w:szCs w:val="32"/>
          <w:lang w:val="en-US" w:eastAsia="zh-CN"/>
        </w:rPr>
        <w:t>其他对个人和家庭的补助预算</w:t>
      </w:r>
      <w:r>
        <w:rPr>
          <w:rFonts w:hint="eastAsia" w:ascii="仿宋_GB2312" w:hAnsi="仿宋_GB2312" w:cs="仿宋_GB2312"/>
          <w:sz w:val="32"/>
          <w:szCs w:val="32"/>
          <w:lang w:val="en-US" w:eastAsia="zh-CN"/>
        </w:rPr>
        <w:t>79.30</w:t>
      </w:r>
      <w:r>
        <w:rPr>
          <w:rFonts w:hint="eastAsia" w:ascii="仿宋_GB2312" w:hAnsi="仿宋_GB2312" w:eastAsia="仿宋_GB2312" w:cs="仿宋_GB2312"/>
          <w:sz w:val="32"/>
          <w:szCs w:val="32"/>
          <w:lang w:eastAsia="zh-CN"/>
        </w:rPr>
        <w:t>万元，</w:t>
      </w:r>
      <w:r>
        <w:rPr>
          <w:rFonts w:hint="eastAsia" w:ascii="仿宋_GB2312" w:hAnsi="仿宋_GB2312" w:cs="仿宋_GB2312"/>
          <w:sz w:val="32"/>
          <w:szCs w:val="32"/>
          <w:lang w:val="en-US" w:eastAsia="zh-CN"/>
        </w:rPr>
        <w:t>预算执行数74.09万元，</w:t>
      </w:r>
      <w:r>
        <w:rPr>
          <w:rFonts w:hint="eastAsia" w:ascii="仿宋_GB2312" w:hAnsi="仿宋_GB2312" w:cs="仿宋_GB2312"/>
          <w:sz w:val="32"/>
          <w:szCs w:val="32"/>
          <w:lang w:eastAsia="zh-CN"/>
        </w:rPr>
        <w:t>预算执行率</w:t>
      </w:r>
      <w:r>
        <w:rPr>
          <w:rFonts w:hint="eastAsia" w:ascii="仿宋_GB2312" w:hAnsi="仿宋_GB2312" w:cs="仿宋_GB2312"/>
          <w:sz w:val="32"/>
          <w:szCs w:val="32"/>
          <w:lang w:val="en-US" w:eastAsia="zh-CN"/>
        </w:rPr>
        <w:t>93.43%，</w:t>
      </w:r>
      <w:r>
        <w:rPr>
          <w:rFonts w:hint="eastAsia" w:ascii="仿宋_GB2312" w:hAnsi="仿宋_GB2312" w:eastAsia="仿宋_GB2312" w:cs="仿宋_GB2312"/>
          <w:color w:val="auto"/>
          <w:sz w:val="32"/>
          <w:szCs w:val="32"/>
          <w:lang w:eastAsia="zh-CN"/>
        </w:rPr>
        <w:t>主要原因</w:t>
      </w:r>
      <w:r>
        <w:rPr>
          <w:rFonts w:hint="eastAsia" w:ascii="仿宋_GB2312" w:hAnsi="仿宋_GB2312" w:cs="仿宋_GB2312"/>
          <w:color w:val="auto"/>
          <w:sz w:val="32"/>
          <w:szCs w:val="32"/>
          <w:lang w:val="en-US" w:eastAsia="zh-CN"/>
        </w:rPr>
        <w:t>是离休干部年龄普遍较大，没有支出离休探亲路费，病故及生病住院人数未达到预算人数，导致慰问经费有少量结余</w:t>
      </w:r>
      <w:r>
        <w:rPr>
          <w:rFonts w:hint="eastAsia" w:ascii="仿宋_GB2312" w:hAnsi="仿宋_GB2312" w:cs="仿宋_GB2312"/>
          <w:color w:val="auto"/>
          <w:sz w:val="32"/>
          <w:szCs w:val="32"/>
          <w:lang w:eastAsia="zh-CN"/>
        </w:rPr>
        <w:t>。</w:t>
      </w:r>
      <w:r>
        <w:rPr>
          <w:rFonts w:hint="eastAsia" w:ascii="仿宋_GB2312" w:hAnsi="仿宋_GB2312" w:cs="仿宋_GB2312"/>
          <w:sz w:val="32"/>
          <w:szCs w:val="32"/>
          <w:lang w:val="en-US" w:eastAsia="zh-CN"/>
        </w:rPr>
        <w:t>在</w:t>
      </w:r>
      <w:r>
        <w:rPr>
          <w:rFonts w:hint="eastAsia" w:ascii="仿宋_GB2312" w:hAnsi="仿宋_GB2312" w:eastAsia="仿宋_GB2312" w:cs="仿宋_GB2312"/>
          <w:sz w:val="32"/>
          <w:szCs w:val="32"/>
          <w:lang w:eastAsia="zh-CN"/>
        </w:rPr>
        <w:t>下一步工作</w:t>
      </w:r>
      <w:r>
        <w:rPr>
          <w:rFonts w:hint="eastAsia" w:ascii="仿宋_GB2312" w:hAnsi="仿宋_GB2312" w:cs="仿宋_GB2312"/>
          <w:sz w:val="32"/>
          <w:szCs w:val="32"/>
          <w:lang w:val="en-US" w:eastAsia="zh-CN"/>
        </w:rPr>
        <w:t>中，一是</w:t>
      </w:r>
      <w:r>
        <w:rPr>
          <w:rFonts w:hint="eastAsia" w:ascii="仿宋_GB2312" w:hAnsi="仿宋_GB2312" w:eastAsia="仿宋_GB2312" w:cs="仿宋_GB2312"/>
          <w:sz w:val="32"/>
          <w:szCs w:val="32"/>
          <w:lang w:eastAsia="zh-CN"/>
        </w:rPr>
        <w:t>将进一步强化预算管理意识</w:t>
      </w:r>
      <w:r>
        <w:rPr>
          <w:rFonts w:hint="eastAsia" w:ascii="仿宋_GB2312" w:hAnsi="仿宋_GB2312" w:cs="仿宋_GB2312"/>
          <w:sz w:val="32"/>
          <w:szCs w:val="32"/>
          <w:lang w:eastAsia="zh-CN"/>
        </w:rPr>
        <w:t>，在</w:t>
      </w:r>
      <w:r>
        <w:rPr>
          <w:rFonts w:hint="eastAsia" w:ascii="仿宋_GB2312" w:hAnsi="仿宋_GB2312" w:eastAsia="仿宋_GB2312" w:cs="仿宋_GB2312"/>
          <w:sz w:val="32"/>
          <w:szCs w:val="32"/>
          <w:lang w:eastAsia="zh-CN"/>
        </w:rPr>
        <w:t>预算编制前多与有关各方做好沟通衔接，提高预算编制的科学性、合理性、准确性和可控性</w:t>
      </w:r>
      <w:r>
        <w:rPr>
          <w:rFonts w:hint="eastAsia" w:ascii="仿宋_GB2312" w:hAnsi="仿宋_GB2312" w:cs="仿宋_GB2312"/>
          <w:sz w:val="32"/>
          <w:szCs w:val="32"/>
          <w:lang w:eastAsia="zh-CN"/>
        </w:rPr>
        <w:t>。</w:t>
      </w:r>
      <w:r>
        <w:rPr>
          <w:rFonts w:hint="eastAsia" w:ascii="仿宋_GB2312" w:hAnsi="仿宋_GB2312" w:cs="仿宋_GB2312"/>
          <w:sz w:val="32"/>
          <w:szCs w:val="32"/>
          <w:lang w:val="en-US" w:eastAsia="zh-CN"/>
        </w:rPr>
        <w:t>二是</w:t>
      </w:r>
      <w:r>
        <w:rPr>
          <w:rFonts w:hint="eastAsia" w:ascii="仿宋_GB2312" w:hAnsi="仿宋_GB2312" w:eastAsia="仿宋_GB2312" w:cs="仿宋_GB2312"/>
          <w:sz w:val="32"/>
          <w:szCs w:val="32"/>
          <w:lang w:eastAsia="zh-CN"/>
        </w:rPr>
        <w:t>认真总结经验，完善</w:t>
      </w:r>
      <w:r>
        <w:rPr>
          <w:rFonts w:hint="eastAsia" w:ascii="仿宋_GB2312" w:hAnsi="仿宋_GB2312" w:cs="仿宋_GB2312"/>
          <w:sz w:val="32"/>
          <w:szCs w:val="32"/>
          <w:lang w:val="en-US" w:eastAsia="zh-CN"/>
        </w:rPr>
        <w:t>服务管理的相关</w:t>
      </w:r>
      <w:r>
        <w:rPr>
          <w:rFonts w:hint="eastAsia" w:ascii="仿宋_GB2312" w:hAnsi="仿宋_GB2312" w:eastAsia="仿宋_GB2312" w:cs="仿宋_GB2312"/>
          <w:sz w:val="32"/>
          <w:szCs w:val="32"/>
          <w:lang w:eastAsia="zh-CN"/>
        </w:rPr>
        <w:t>机制和制度，合理安排资金支出进度，重视对财政资金的追踪问效，提高</w:t>
      </w:r>
      <w:r>
        <w:rPr>
          <w:rFonts w:hint="eastAsia" w:ascii="仿宋_GB2312" w:hAnsi="仿宋_GB2312" w:cs="仿宋_GB2312"/>
          <w:sz w:val="32"/>
          <w:szCs w:val="32"/>
          <w:lang w:val="en-US" w:eastAsia="zh-CN"/>
        </w:rPr>
        <w:t>财政</w:t>
      </w:r>
      <w:r>
        <w:rPr>
          <w:rFonts w:hint="eastAsia" w:ascii="仿宋_GB2312" w:hAnsi="仿宋_GB2312" w:eastAsia="仿宋_GB2312" w:cs="仿宋_GB2312"/>
          <w:sz w:val="32"/>
          <w:szCs w:val="32"/>
          <w:lang w:eastAsia="zh-CN"/>
        </w:rPr>
        <w:t>资金使用效率。</w:t>
      </w:r>
    </w:p>
    <w:p w14:paraId="5C15D19F">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有关建议</w:t>
      </w:r>
    </w:p>
    <w:p w14:paraId="4416B436">
      <w:pPr>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cs="仿宋_GB2312"/>
          <w:sz w:val="32"/>
          <w:szCs w:val="32"/>
          <w:lang w:eastAsia="zh-CN"/>
        </w:rPr>
      </w:pPr>
      <w:r>
        <w:rPr>
          <w:rFonts w:hint="eastAsia" w:ascii="仿宋_GB2312" w:hAnsi="仿宋_GB2312" w:cs="仿宋_GB2312"/>
          <w:sz w:val="32"/>
          <w:szCs w:val="32"/>
          <w:lang w:eastAsia="zh-CN"/>
        </w:rPr>
        <w:t>无</w:t>
      </w:r>
    </w:p>
    <w:p w14:paraId="7B1A4F20">
      <w:pPr>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ascii="黑体" w:hAnsi="黑体" w:eastAsia="黑体"/>
          <w:color w:val="auto"/>
          <w:sz w:val="32"/>
          <w:szCs w:val="32"/>
          <w:lang w:eastAsia="zh-CN"/>
        </w:rPr>
      </w:pPr>
      <w:r>
        <w:rPr>
          <w:rFonts w:hint="eastAsia" w:ascii="黑体" w:hAnsi="黑体" w:eastAsia="黑体"/>
          <w:color w:val="auto"/>
          <w:sz w:val="32"/>
          <w:szCs w:val="32"/>
          <w:lang w:eastAsia="zh-CN"/>
        </w:rPr>
        <w:t>七、其他需要说明的问题</w:t>
      </w:r>
    </w:p>
    <w:p w14:paraId="677ACBDC">
      <w:pPr>
        <w:keepNext w:val="0"/>
        <w:keepLines w:val="0"/>
        <w:pageBreakBefore w:val="0"/>
        <w:widowControl w:val="0"/>
        <w:kinsoku/>
        <w:wordWrap/>
        <w:overflowPunct/>
        <w:topLinePunct w:val="0"/>
        <w:autoSpaceDE/>
        <w:autoSpaceDN/>
        <w:bidi w:val="0"/>
        <w:adjustRightInd/>
        <w:snapToGrid w:val="0"/>
        <w:spacing w:line="580" w:lineRule="exact"/>
        <w:ind w:firstLine="640" w:firstLineChars="200"/>
        <w:jc w:val="left"/>
        <w:textAlignment w:val="auto"/>
        <w:rPr>
          <w:rFonts w:hint="eastAsia" w:ascii="宋体" w:hAnsi="宋体" w:eastAsia="宋体" w:cs="宋体"/>
          <w:b/>
          <w:sz w:val="36"/>
          <w:szCs w:val="44"/>
          <w:lang w:val="en" w:eastAsia="zh-CN"/>
        </w:rPr>
      </w:pPr>
      <w:r>
        <w:rPr>
          <w:rFonts w:hint="eastAsia" w:ascii="仿宋_GB2312" w:hAnsi="仿宋_GB2312" w:cs="仿宋_GB2312"/>
          <w:sz w:val="32"/>
          <w:szCs w:val="32"/>
          <w:lang w:eastAsia="zh-CN"/>
        </w:rPr>
        <w:t>无</w:t>
      </w:r>
    </w:p>
    <w:sectPr>
      <w:pgSz w:w="11906" w:h="16838"/>
      <w:pgMar w:top="1440" w:right="1800" w:bottom="1383" w:left="1800" w:header="851" w:footer="992" w:gutter="0"/>
      <w:paperSrc/>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23D141"/>
    <w:multiLevelType w:val="singleLevel"/>
    <w:tmpl w:val="1623D141"/>
    <w:lvl w:ilvl="0" w:tentative="0">
      <w:start w:val="6"/>
      <w:numFmt w:val="chineseCounting"/>
      <w:suff w:val="nothing"/>
      <w:lvlText w:val="%1、"/>
      <w:lvlJc w:val="left"/>
      <w:rPr>
        <w:rFonts w:hint="eastAsia"/>
      </w:rPr>
    </w:lvl>
  </w:abstractNum>
  <w:abstractNum w:abstractNumId="1">
    <w:nsid w:val="2C4217EE"/>
    <w:multiLevelType w:val="singleLevel"/>
    <w:tmpl w:val="2C4217EE"/>
    <w:lvl w:ilvl="0" w:tentative="0">
      <w:start w:val="2"/>
      <w:numFmt w:val="chineseCounting"/>
      <w:suff w:val="nothing"/>
      <w:lvlText w:val="（%1）"/>
      <w:lvlJc w:val="left"/>
      <w:rPr>
        <w:rFonts w:hint="eastAsia"/>
      </w:rPr>
    </w:lvl>
  </w:abstractNum>
  <w:abstractNum w:abstractNumId="2">
    <w:nsid w:val="5609B73A"/>
    <w:multiLevelType w:val="singleLevel"/>
    <w:tmpl w:val="5609B73A"/>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50"/>
  <w:drawingGridVerticalSpacing w:val="5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4NTY5NWFkZmZjNWE3MWVhNTFjYzBmYmMyYjc0YmUifQ=="/>
  </w:docVars>
  <w:rsids>
    <w:rsidRoot w:val="00F57F82"/>
    <w:rsid w:val="000101E1"/>
    <w:rsid w:val="000732DA"/>
    <w:rsid w:val="00075CDC"/>
    <w:rsid w:val="000B1E8F"/>
    <w:rsid w:val="000B6964"/>
    <w:rsid w:val="00103D16"/>
    <w:rsid w:val="00111638"/>
    <w:rsid w:val="00111928"/>
    <w:rsid w:val="00112048"/>
    <w:rsid w:val="0012041C"/>
    <w:rsid w:val="00164D84"/>
    <w:rsid w:val="00173016"/>
    <w:rsid w:val="0017509C"/>
    <w:rsid w:val="001808CA"/>
    <w:rsid w:val="001A4E46"/>
    <w:rsid w:val="001E03FE"/>
    <w:rsid w:val="001F4A5C"/>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922BC"/>
    <w:rsid w:val="009E0D8C"/>
    <w:rsid w:val="00A02AF3"/>
    <w:rsid w:val="00A25077"/>
    <w:rsid w:val="00A610CC"/>
    <w:rsid w:val="00A8737E"/>
    <w:rsid w:val="00AA19AF"/>
    <w:rsid w:val="00AD558A"/>
    <w:rsid w:val="00B31589"/>
    <w:rsid w:val="00BC6882"/>
    <w:rsid w:val="00BD3FE0"/>
    <w:rsid w:val="00BE19C2"/>
    <w:rsid w:val="00BE58CF"/>
    <w:rsid w:val="00CA5578"/>
    <w:rsid w:val="00CA7DAA"/>
    <w:rsid w:val="00D04826"/>
    <w:rsid w:val="00D63908"/>
    <w:rsid w:val="00D8718A"/>
    <w:rsid w:val="00D93453"/>
    <w:rsid w:val="00DC524D"/>
    <w:rsid w:val="00E071D6"/>
    <w:rsid w:val="00ED3E0F"/>
    <w:rsid w:val="00F015E4"/>
    <w:rsid w:val="00F57F82"/>
    <w:rsid w:val="00F75224"/>
    <w:rsid w:val="00F91EAE"/>
    <w:rsid w:val="00FA086C"/>
    <w:rsid w:val="00FA2093"/>
    <w:rsid w:val="00FA357A"/>
    <w:rsid w:val="01057174"/>
    <w:rsid w:val="018E6ED4"/>
    <w:rsid w:val="023A109F"/>
    <w:rsid w:val="029562D6"/>
    <w:rsid w:val="02F13458"/>
    <w:rsid w:val="03311637"/>
    <w:rsid w:val="033C4239"/>
    <w:rsid w:val="03541D60"/>
    <w:rsid w:val="036D293D"/>
    <w:rsid w:val="03773C2D"/>
    <w:rsid w:val="037D0BC8"/>
    <w:rsid w:val="03AC690E"/>
    <w:rsid w:val="03B07AF1"/>
    <w:rsid w:val="04F10EC4"/>
    <w:rsid w:val="05143E2A"/>
    <w:rsid w:val="054B34A5"/>
    <w:rsid w:val="056D0B77"/>
    <w:rsid w:val="06112351"/>
    <w:rsid w:val="06563FCE"/>
    <w:rsid w:val="0676641E"/>
    <w:rsid w:val="067803E8"/>
    <w:rsid w:val="068970EC"/>
    <w:rsid w:val="06911C3B"/>
    <w:rsid w:val="06E415DA"/>
    <w:rsid w:val="06FC4B75"/>
    <w:rsid w:val="070D3FB1"/>
    <w:rsid w:val="07934A39"/>
    <w:rsid w:val="07BA55A7"/>
    <w:rsid w:val="0845082D"/>
    <w:rsid w:val="08CB4963"/>
    <w:rsid w:val="095C18FB"/>
    <w:rsid w:val="095C7B4D"/>
    <w:rsid w:val="096D0E44"/>
    <w:rsid w:val="09E85885"/>
    <w:rsid w:val="09E965F2"/>
    <w:rsid w:val="0A9849C0"/>
    <w:rsid w:val="0A9926DB"/>
    <w:rsid w:val="0AD67BFB"/>
    <w:rsid w:val="0AD876A7"/>
    <w:rsid w:val="0BC25B83"/>
    <w:rsid w:val="0C0A4C8F"/>
    <w:rsid w:val="0C175FAD"/>
    <w:rsid w:val="0C475CE1"/>
    <w:rsid w:val="0CC17E6B"/>
    <w:rsid w:val="0CCA74C4"/>
    <w:rsid w:val="0CDC165C"/>
    <w:rsid w:val="0DA10224"/>
    <w:rsid w:val="0DE34399"/>
    <w:rsid w:val="0E303356"/>
    <w:rsid w:val="0EEE1C53"/>
    <w:rsid w:val="0F927CB0"/>
    <w:rsid w:val="0FCD19ED"/>
    <w:rsid w:val="0FF7AA4F"/>
    <w:rsid w:val="10066A65"/>
    <w:rsid w:val="106A1E0A"/>
    <w:rsid w:val="107D459E"/>
    <w:rsid w:val="10A96A1D"/>
    <w:rsid w:val="10DB05B8"/>
    <w:rsid w:val="113008C4"/>
    <w:rsid w:val="119A2800"/>
    <w:rsid w:val="1211524D"/>
    <w:rsid w:val="123B7AF5"/>
    <w:rsid w:val="12416C01"/>
    <w:rsid w:val="125F37F1"/>
    <w:rsid w:val="12971BF6"/>
    <w:rsid w:val="12A55086"/>
    <w:rsid w:val="131B7848"/>
    <w:rsid w:val="13493E38"/>
    <w:rsid w:val="139840D3"/>
    <w:rsid w:val="139E2979"/>
    <w:rsid w:val="13C1590B"/>
    <w:rsid w:val="140B289C"/>
    <w:rsid w:val="141A7D6B"/>
    <w:rsid w:val="143E091F"/>
    <w:rsid w:val="14833E9D"/>
    <w:rsid w:val="14865FC8"/>
    <w:rsid w:val="14C67C4F"/>
    <w:rsid w:val="14C8253B"/>
    <w:rsid w:val="150C2DB0"/>
    <w:rsid w:val="152911A5"/>
    <w:rsid w:val="157B2B28"/>
    <w:rsid w:val="161C2B3E"/>
    <w:rsid w:val="1627221C"/>
    <w:rsid w:val="16AB3EC2"/>
    <w:rsid w:val="170535D2"/>
    <w:rsid w:val="17111053"/>
    <w:rsid w:val="17A17C87"/>
    <w:rsid w:val="17AF79E2"/>
    <w:rsid w:val="17E256C1"/>
    <w:rsid w:val="17F81389"/>
    <w:rsid w:val="17FB2C27"/>
    <w:rsid w:val="189A5FCD"/>
    <w:rsid w:val="1927005A"/>
    <w:rsid w:val="1932365A"/>
    <w:rsid w:val="19BB3F76"/>
    <w:rsid w:val="19C3137D"/>
    <w:rsid w:val="19DD358D"/>
    <w:rsid w:val="1A293DCD"/>
    <w:rsid w:val="1A7D29EA"/>
    <w:rsid w:val="1A8D5817"/>
    <w:rsid w:val="1AF23E6D"/>
    <w:rsid w:val="1B067919"/>
    <w:rsid w:val="1B475622"/>
    <w:rsid w:val="1B6C00C4"/>
    <w:rsid w:val="1B707488"/>
    <w:rsid w:val="1BC806A4"/>
    <w:rsid w:val="1C112A19"/>
    <w:rsid w:val="1C89290F"/>
    <w:rsid w:val="1CF55E97"/>
    <w:rsid w:val="1CFA16FF"/>
    <w:rsid w:val="1D1C3400"/>
    <w:rsid w:val="1D2422D8"/>
    <w:rsid w:val="1D383FD6"/>
    <w:rsid w:val="1D994BCF"/>
    <w:rsid w:val="1DA077E0"/>
    <w:rsid w:val="1DF919B7"/>
    <w:rsid w:val="1E4075E6"/>
    <w:rsid w:val="1E522E75"/>
    <w:rsid w:val="1E684FD8"/>
    <w:rsid w:val="1E761F05"/>
    <w:rsid w:val="1EA062D6"/>
    <w:rsid w:val="1ED32208"/>
    <w:rsid w:val="1F7072F7"/>
    <w:rsid w:val="1F7524D1"/>
    <w:rsid w:val="1F7BE1E6"/>
    <w:rsid w:val="1FA80B45"/>
    <w:rsid w:val="1FC7205C"/>
    <w:rsid w:val="1FDC50EC"/>
    <w:rsid w:val="20D858B3"/>
    <w:rsid w:val="20DD55C0"/>
    <w:rsid w:val="20E029BA"/>
    <w:rsid w:val="21CB366A"/>
    <w:rsid w:val="2228094B"/>
    <w:rsid w:val="222E307C"/>
    <w:rsid w:val="22597779"/>
    <w:rsid w:val="22822F51"/>
    <w:rsid w:val="228B3D05"/>
    <w:rsid w:val="236D2106"/>
    <w:rsid w:val="23BC2BF9"/>
    <w:rsid w:val="23C2284B"/>
    <w:rsid w:val="23DF3620"/>
    <w:rsid w:val="24030E99"/>
    <w:rsid w:val="24343749"/>
    <w:rsid w:val="2435301D"/>
    <w:rsid w:val="244435F3"/>
    <w:rsid w:val="244F4CF2"/>
    <w:rsid w:val="24815FAE"/>
    <w:rsid w:val="25022086"/>
    <w:rsid w:val="256509FA"/>
    <w:rsid w:val="257F27A2"/>
    <w:rsid w:val="25C96AE5"/>
    <w:rsid w:val="25D16D75"/>
    <w:rsid w:val="260D73E1"/>
    <w:rsid w:val="26213C64"/>
    <w:rsid w:val="26215F4F"/>
    <w:rsid w:val="266F36FB"/>
    <w:rsid w:val="26AC5526"/>
    <w:rsid w:val="27693709"/>
    <w:rsid w:val="278B57CE"/>
    <w:rsid w:val="27C76682"/>
    <w:rsid w:val="280C3DAE"/>
    <w:rsid w:val="2818512F"/>
    <w:rsid w:val="284810A0"/>
    <w:rsid w:val="284E74F8"/>
    <w:rsid w:val="285476BF"/>
    <w:rsid w:val="28777CF7"/>
    <w:rsid w:val="28991DCC"/>
    <w:rsid w:val="289E73E3"/>
    <w:rsid w:val="28E863CE"/>
    <w:rsid w:val="28FB2B75"/>
    <w:rsid w:val="290838BC"/>
    <w:rsid w:val="291C5D93"/>
    <w:rsid w:val="29455AB0"/>
    <w:rsid w:val="29A058F9"/>
    <w:rsid w:val="29D35B53"/>
    <w:rsid w:val="2A1123B6"/>
    <w:rsid w:val="2A48221F"/>
    <w:rsid w:val="2A6F1F49"/>
    <w:rsid w:val="2ADB48E8"/>
    <w:rsid w:val="2B4029D3"/>
    <w:rsid w:val="2B4B6663"/>
    <w:rsid w:val="2B67357D"/>
    <w:rsid w:val="2BB4516F"/>
    <w:rsid w:val="2BCE7B8E"/>
    <w:rsid w:val="2BEC66B7"/>
    <w:rsid w:val="2C1520B2"/>
    <w:rsid w:val="2C1A3C72"/>
    <w:rsid w:val="2C3F712F"/>
    <w:rsid w:val="2C862667"/>
    <w:rsid w:val="2CC6258F"/>
    <w:rsid w:val="2D7745C4"/>
    <w:rsid w:val="2D8D57F6"/>
    <w:rsid w:val="2DB54A70"/>
    <w:rsid w:val="2DBA2E0B"/>
    <w:rsid w:val="2DC93154"/>
    <w:rsid w:val="2E6206A8"/>
    <w:rsid w:val="2E764E5E"/>
    <w:rsid w:val="2EB07E70"/>
    <w:rsid w:val="2ECC3C84"/>
    <w:rsid w:val="2EE049D3"/>
    <w:rsid w:val="2EF17758"/>
    <w:rsid w:val="2EF35FAE"/>
    <w:rsid w:val="2F0A3A24"/>
    <w:rsid w:val="2F5527C5"/>
    <w:rsid w:val="2F8F080E"/>
    <w:rsid w:val="2F917CA1"/>
    <w:rsid w:val="30131FA1"/>
    <w:rsid w:val="30152738"/>
    <w:rsid w:val="302B2951"/>
    <w:rsid w:val="309A0DD7"/>
    <w:rsid w:val="311D2B2B"/>
    <w:rsid w:val="31603DCF"/>
    <w:rsid w:val="31CF77C4"/>
    <w:rsid w:val="323A071E"/>
    <w:rsid w:val="32851613"/>
    <w:rsid w:val="32F86321"/>
    <w:rsid w:val="33633282"/>
    <w:rsid w:val="3383125F"/>
    <w:rsid w:val="33D2748D"/>
    <w:rsid w:val="340D366E"/>
    <w:rsid w:val="341E6520"/>
    <w:rsid w:val="347B2CCE"/>
    <w:rsid w:val="34A22009"/>
    <w:rsid w:val="350D0400"/>
    <w:rsid w:val="353213DD"/>
    <w:rsid w:val="35492DCC"/>
    <w:rsid w:val="354C01C6"/>
    <w:rsid w:val="356474E2"/>
    <w:rsid w:val="357E2A76"/>
    <w:rsid w:val="359E7E5B"/>
    <w:rsid w:val="35D66823"/>
    <w:rsid w:val="364C06F5"/>
    <w:rsid w:val="364F7F6E"/>
    <w:rsid w:val="36687282"/>
    <w:rsid w:val="367793B2"/>
    <w:rsid w:val="36F438BD"/>
    <w:rsid w:val="372E04CB"/>
    <w:rsid w:val="3794FC37"/>
    <w:rsid w:val="37DC1CD5"/>
    <w:rsid w:val="37EA299D"/>
    <w:rsid w:val="38163439"/>
    <w:rsid w:val="386A72E1"/>
    <w:rsid w:val="3872263A"/>
    <w:rsid w:val="389C3213"/>
    <w:rsid w:val="38A5089C"/>
    <w:rsid w:val="38CA3FBC"/>
    <w:rsid w:val="38EF7AD8"/>
    <w:rsid w:val="390D7134"/>
    <w:rsid w:val="396E2E01"/>
    <w:rsid w:val="39797D4A"/>
    <w:rsid w:val="3995213C"/>
    <w:rsid w:val="39A621F5"/>
    <w:rsid w:val="39BE5B37"/>
    <w:rsid w:val="3A9703A1"/>
    <w:rsid w:val="3AD33440"/>
    <w:rsid w:val="3B192DA3"/>
    <w:rsid w:val="3B860149"/>
    <w:rsid w:val="3BB16FD5"/>
    <w:rsid w:val="3BD74C8E"/>
    <w:rsid w:val="3BDB4052"/>
    <w:rsid w:val="3C11039F"/>
    <w:rsid w:val="3C2123AD"/>
    <w:rsid w:val="3C3A4DF5"/>
    <w:rsid w:val="3C8864AE"/>
    <w:rsid w:val="3C97441D"/>
    <w:rsid w:val="3D261FC7"/>
    <w:rsid w:val="3D4520CB"/>
    <w:rsid w:val="3D673DEF"/>
    <w:rsid w:val="3E1672E6"/>
    <w:rsid w:val="3E463991"/>
    <w:rsid w:val="3E845014"/>
    <w:rsid w:val="3EB9C2BB"/>
    <w:rsid w:val="3F254B77"/>
    <w:rsid w:val="3F486480"/>
    <w:rsid w:val="3F4904F7"/>
    <w:rsid w:val="3F65602B"/>
    <w:rsid w:val="3F7E540A"/>
    <w:rsid w:val="3FA71C20"/>
    <w:rsid w:val="3FE67B95"/>
    <w:rsid w:val="3FEF6A07"/>
    <w:rsid w:val="4053273E"/>
    <w:rsid w:val="40DD1251"/>
    <w:rsid w:val="40F947DE"/>
    <w:rsid w:val="4134396F"/>
    <w:rsid w:val="415F08D8"/>
    <w:rsid w:val="41D91034"/>
    <w:rsid w:val="42017A64"/>
    <w:rsid w:val="42181855"/>
    <w:rsid w:val="423B584A"/>
    <w:rsid w:val="4284516C"/>
    <w:rsid w:val="42B56761"/>
    <w:rsid w:val="42CC03BF"/>
    <w:rsid w:val="43D94396"/>
    <w:rsid w:val="43E154A7"/>
    <w:rsid w:val="43E20674"/>
    <w:rsid w:val="43E65E4A"/>
    <w:rsid w:val="448B22FD"/>
    <w:rsid w:val="448F7DDB"/>
    <w:rsid w:val="44D2767A"/>
    <w:rsid w:val="44E2230F"/>
    <w:rsid w:val="4548631D"/>
    <w:rsid w:val="4559687F"/>
    <w:rsid w:val="457875F6"/>
    <w:rsid w:val="45F02EA6"/>
    <w:rsid w:val="46676156"/>
    <w:rsid w:val="46F70B6D"/>
    <w:rsid w:val="47523D62"/>
    <w:rsid w:val="479253E2"/>
    <w:rsid w:val="47946129"/>
    <w:rsid w:val="48B51347"/>
    <w:rsid w:val="490746A0"/>
    <w:rsid w:val="491A0CE9"/>
    <w:rsid w:val="491B45FA"/>
    <w:rsid w:val="49283851"/>
    <w:rsid w:val="49627B61"/>
    <w:rsid w:val="49EC12C1"/>
    <w:rsid w:val="4A3D4856"/>
    <w:rsid w:val="4A55216A"/>
    <w:rsid w:val="4A85020C"/>
    <w:rsid w:val="4ACA0226"/>
    <w:rsid w:val="4B1F5D09"/>
    <w:rsid w:val="4C46686F"/>
    <w:rsid w:val="4CEC7AA7"/>
    <w:rsid w:val="4D741E48"/>
    <w:rsid w:val="4DF35ED1"/>
    <w:rsid w:val="4E0A1360"/>
    <w:rsid w:val="4EEA0D24"/>
    <w:rsid w:val="4F245FE4"/>
    <w:rsid w:val="4F6C058C"/>
    <w:rsid w:val="4FE0696A"/>
    <w:rsid w:val="4FF43C08"/>
    <w:rsid w:val="50125E3D"/>
    <w:rsid w:val="503F6E4F"/>
    <w:rsid w:val="508F56DF"/>
    <w:rsid w:val="509A0B4A"/>
    <w:rsid w:val="51A451BA"/>
    <w:rsid w:val="51F92E88"/>
    <w:rsid w:val="52107E9A"/>
    <w:rsid w:val="52224F53"/>
    <w:rsid w:val="52943481"/>
    <w:rsid w:val="531B14AC"/>
    <w:rsid w:val="53402F01"/>
    <w:rsid w:val="5382152B"/>
    <w:rsid w:val="53E47072"/>
    <w:rsid w:val="53ED03B4"/>
    <w:rsid w:val="5429409D"/>
    <w:rsid w:val="546F8569"/>
    <w:rsid w:val="54987A82"/>
    <w:rsid w:val="54BF230B"/>
    <w:rsid w:val="54C71865"/>
    <w:rsid w:val="54E90592"/>
    <w:rsid w:val="54EF3369"/>
    <w:rsid w:val="55264621"/>
    <w:rsid w:val="55570160"/>
    <w:rsid w:val="55673508"/>
    <w:rsid w:val="55780E38"/>
    <w:rsid w:val="55807CEC"/>
    <w:rsid w:val="55A25EB5"/>
    <w:rsid w:val="55BB639F"/>
    <w:rsid w:val="55CF032A"/>
    <w:rsid w:val="56440D1A"/>
    <w:rsid w:val="56A30136"/>
    <w:rsid w:val="56FC15F5"/>
    <w:rsid w:val="5717547F"/>
    <w:rsid w:val="572F0470"/>
    <w:rsid w:val="579B1608"/>
    <w:rsid w:val="57A20E26"/>
    <w:rsid w:val="580805D6"/>
    <w:rsid w:val="58137BB7"/>
    <w:rsid w:val="584C6EED"/>
    <w:rsid w:val="584D37F5"/>
    <w:rsid w:val="58B626C3"/>
    <w:rsid w:val="58C73406"/>
    <w:rsid w:val="59595A6F"/>
    <w:rsid w:val="597350B8"/>
    <w:rsid w:val="599330CA"/>
    <w:rsid w:val="599B10B2"/>
    <w:rsid w:val="5A2E41BB"/>
    <w:rsid w:val="5A7FCB1F"/>
    <w:rsid w:val="5A88774A"/>
    <w:rsid w:val="5AC31F99"/>
    <w:rsid w:val="5ACB7C5C"/>
    <w:rsid w:val="5B04316E"/>
    <w:rsid w:val="5BA018BD"/>
    <w:rsid w:val="5BE66CE8"/>
    <w:rsid w:val="5C2C00C5"/>
    <w:rsid w:val="5C2F5FC8"/>
    <w:rsid w:val="5C4E6F63"/>
    <w:rsid w:val="5C713D5E"/>
    <w:rsid w:val="5C7D12D3"/>
    <w:rsid w:val="5D292FE4"/>
    <w:rsid w:val="5DD80CCF"/>
    <w:rsid w:val="5DDB6408"/>
    <w:rsid w:val="5F8968E7"/>
    <w:rsid w:val="5F8B5C0B"/>
    <w:rsid w:val="5F8D3732"/>
    <w:rsid w:val="5FBC5DC5"/>
    <w:rsid w:val="5FE61B61"/>
    <w:rsid w:val="5FEAF7C9"/>
    <w:rsid w:val="600734E4"/>
    <w:rsid w:val="605B003F"/>
    <w:rsid w:val="60902CEE"/>
    <w:rsid w:val="60924102"/>
    <w:rsid w:val="60D5009F"/>
    <w:rsid w:val="60D85524"/>
    <w:rsid w:val="61185F8D"/>
    <w:rsid w:val="614B11AE"/>
    <w:rsid w:val="6156633C"/>
    <w:rsid w:val="615B3946"/>
    <w:rsid w:val="61A8313D"/>
    <w:rsid w:val="61BD341C"/>
    <w:rsid w:val="61D6580B"/>
    <w:rsid w:val="625D388F"/>
    <w:rsid w:val="625E1DF1"/>
    <w:rsid w:val="62946B3B"/>
    <w:rsid w:val="631F3FB4"/>
    <w:rsid w:val="63604CA7"/>
    <w:rsid w:val="639257BA"/>
    <w:rsid w:val="63AB40AC"/>
    <w:rsid w:val="63D850F5"/>
    <w:rsid w:val="64AC2E11"/>
    <w:rsid w:val="652A37D1"/>
    <w:rsid w:val="65332685"/>
    <w:rsid w:val="653A1C66"/>
    <w:rsid w:val="65460931"/>
    <w:rsid w:val="65847385"/>
    <w:rsid w:val="65D06AFD"/>
    <w:rsid w:val="660721C9"/>
    <w:rsid w:val="661E6C75"/>
    <w:rsid w:val="66430FCE"/>
    <w:rsid w:val="665D28B5"/>
    <w:rsid w:val="66687D72"/>
    <w:rsid w:val="668A13A8"/>
    <w:rsid w:val="67397CFB"/>
    <w:rsid w:val="6791456F"/>
    <w:rsid w:val="67A07071"/>
    <w:rsid w:val="67A21D44"/>
    <w:rsid w:val="67F75FF5"/>
    <w:rsid w:val="681D4831"/>
    <w:rsid w:val="68923B67"/>
    <w:rsid w:val="689B6EBF"/>
    <w:rsid w:val="68C07B47"/>
    <w:rsid w:val="692E4B19"/>
    <w:rsid w:val="69513EF7"/>
    <w:rsid w:val="697069D6"/>
    <w:rsid w:val="69853895"/>
    <w:rsid w:val="6A2F42DC"/>
    <w:rsid w:val="6A4109EA"/>
    <w:rsid w:val="6A687275"/>
    <w:rsid w:val="6A841BD5"/>
    <w:rsid w:val="6AE54988"/>
    <w:rsid w:val="6AE90161"/>
    <w:rsid w:val="6BB72CDD"/>
    <w:rsid w:val="6BC37171"/>
    <w:rsid w:val="6BEC40F3"/>
    <w:rsid w:val="6BF3256F"/>
    <w:rsid w:val="6C270246"/>
    <w:rsid w:val="6C6B0957"/>
    <w:rsid w:val="6C6E6DCF"/>
    <w:rsid w:val="6C785167"/>
    <w:rsid w:val="6C7F2654"/>
    <w:rsid w:val="6C97799E"/>
    <w:rsid w:val="6C9A19C4"/>
    <w:rsid w:val="6C9E677D"/>
    <w:rsid w:val="6CD70509"/>
    <w:rsid w:val="6CE7018A"/>
    <w:rsid w:val="6D156B14"/>
    <w:rsid w:val="6D3C3656"/>
    <w:rsid w:val="6E193E88"/>
    <w:rsid w:val="6E3E3F2D"/>
    <w:rsid w:val="6E761835"/>
    <w:rsid w:val="6ED07197"/>
    <w:rsid w:val="6EE12513"/>
    <w:rsid w:val="6EF32E85"/>
    <w:rsid w:val="6F0E7CBF"/>
    <w:rsid w:val="6FBB43B1"/>
    <w:rsid w:val="6FCB25CC"/>
    <w:rsid w:val="701F6731"/>
    <w:rsid w:val="7127308D"/>
    <w:rsid w:val="713D4620"/>
    <w:rsid w:val="715220E5"/>
    <w:rsid w:val="715B2F02"/>
    <w:rsid w:val="71867FE1"/>
    <w:rsid w:val="72046505"/>
    <w:rsid w:val="72E01973"/>
    <w:rsid w:val="72ED75A5"/>
    <w:rsid w:val="73456985"/>
    <w:rsid w:val="73A270E8"/>
    <w:rsid w:val="73B30A83"/>
    <w:rsid w:val="73BD5E16"/>
    <w:rsid w:val="73C6500C"/>
    <w:rsid w:val="74265B24"/>
    <w:rsid w:val="74544F38"/>
    <w:rsid w:val="74CE5F27"/>
    <w:rsid w:val="752244C4"/>
    <w:rsid w:val="753B10E2"/>
    <w:rsid w:val="754206C3"/>
    <w:rsid w:val="765A0B08"/>
    <w:rsid w:val="76A548F2"/>
    <w:rsid w:val="76E063E5"/>
    <w:rsid w:val="770B3462"/>
    <w:rsid w:val="77247A2C"/>
    <w:rsid w:val="773C463B"/>
    <w:rsid w:val="773D04CB"/>
    <w:rsid w:val="7765772E"/>
    <w:rsid w:val="776F5E62"/>
    <w:rsid w:val="77867685"/>
    <w:rsid w:val="778B16AB"/>
    <w:rsid w:val="778F33FB"/>
    <w:rsid w:val="77EE7FE7"/>
    <w:rsid w:val="78102139"/>
    <w:rsid w:val="781F36B6"/>
    <w:rsid w:val="78984F2C"/>
    <w:rsid w:val="78D91CE2"/>
    <w:rsid w:val="78F02F79"/>
    <w:rsid w:val="790627AD"/>
    <w:rsid w:val="79153174"/>
    <w:rsid w:val="792720A9"/>
    <w:rsid w:val="79764DDF"/>
    <w:rsid w:val="797846B3"/>
    <w:rsid w:val="79DF2801"/>
    <w:rsid w:val="79DFF8C4"/>
    <w:rsid w:val="79F06E8E"/>
    <w:rsid w:val="7A0057F5"/>
    <w:rsid w:val="7A0B6A46"/>
    <w:rsid w:val="7A1268B5"/>
    <w:rsid w:val="7A3C3932"/>
    <w:rsid w:val="7A58524B"/>
    <w:rsid w:val="7A902D98"/>
    <w:rsid w:val="7A951295"/>
    <w:rsid w:val="7AC44D8C"/>
    <w:rsid w:val="7ADC59FA"/>
    <w:rsid w:val="7AE11C5E"/>
    <w:rsid w:val="7AF1471D"/>
    <w:rsid w:val="7AFF2FC3"/>
    <w:rsid w:val="7B190A7F"/>
    <w:rsid w:val="7B2723A0"/>
    <w:rsid w:val="7B727542"/>
    <w:rsid w:val="7BF6B4C5"/>
    <w:rsid w:val="7C195B55"/>
    <w:rsid w:val="7C7061BC"/>
    <w:rsid w:val="7C706816"/>
    <w:rsid w:val="7CDF04C4"/>
    <w:rsid w:val="7CF25DDF"/>
    <w:rsid w:val="7D0D15B6"/>
    <w:rsid w:val="7D644732"/>
    <w:rsid w:val="7D7A4E9D"/>
    <w:rsid w:val="7DDD794F"/>
    <w:rsid w:val="7DFA6624"/>
    <w:rsid w:val="7DFD8AD7"/>
    <w:rsid w:val="7DFEFB95"/>
    <w:rsid w:val="7E525E1A"/>
    <w:rsid w:val="7E5A082B"/>
    <w:rsid w:val="7E681432"/>
    <w:rsid w:val="7E7933A7"/>
    <w:rsid w:val="7ECD6B9A"/>
    <w:rsid w:val="7EFB1E05"/>
    <w:rsid w:val="7F2A6A9E"/>
    <w:rsid w:val="7F8E2E82"/>
    <w:rsid w:val="7F8F2756"/>
    <w:rsid w:val="7F906944"/>
    <w:rsid w:val="7FA20752"/>
    <w:rsid w:val="7FB95B5C"/>
    <w:rsid w:val="7FBA576D"/>
    <w:rsid w:val="7FD6414A"/>
    <w:rsid w:val="7FDC0EF6"/>
    <w:rsid w:val="7FDE47D5"/>
    <w:rsid w:val="7FF16F6D"/>
    <w:rsid w:val="7FF43CBB"/>
    <w:rsid w:val="7FFD003D"/>
    <w:rsid w:val="94BFC172"/>
    <w:rsid w:val="9BFA614C"/>
    <w:rsid w:val="B73CEB97"/>
    <w:rsid w:val="BAFE1E17"/>
    <w:rsid w:val="BBDF5B5A"/>
    <w:rsid w:val="BBE428C2"/>
    <w:rsid w:val="BDE74DE5"/>
    <w:rsid w:val="BFBF52D7"/>
    <w:rsid w:val="DF6E82F1"/>
    <w:rsid w:val="DFCEE0CE"/>
    <w:rsid w:val="DFFF7077"/>
    <w:rsid w:val="EEBF76D9"/>
    <w:rsid w:val="F36EF6AC"/>
    <w:rsid w:val="F6FDCC0E"/>
    <w:rsid w:val="F767D450"/>
    <w:rsid w:val="F76FB1DB"/>
    <w:rsid w:val="F7FBEBBF"/>
    <w:rsid w:val="F9F3FBF0"/>
    <w:rsid w:val="FB9F8FA2"/>
    <w:rsid w:val="FDB5389F"/>
    <w:rsid w:val="FFAFB80B"/>
    <w:rsid w:val="FFF9F8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Balloon Text"/>
    <w:basedOn w:val="1"/>
    <w:link w:val="11"/>
    <w:qFormat/>
    <w:uiPriority w:val="0"/>
    <w:rPr>
      <w:sz w:val="18"/>
      <w:szCs w:val="18"/>
    </w:rPr>
  </w:style>
  <w:style w:type="paragraph" w:styleId="5">
    <w:name w:val="footer"/>
    <w:basedOn w:val="1"/>
    <w:link w:val="9"/>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脚 Char"/>
    <w:basedOn w:val="8"/>
    <w:link w:val="5"/>
    <w:qFormat/>
    <w:uiPriority w:val="99"/>
    <w:rPr>
      <w:rFonts w:eastAsia="仿宋_GB2312"/>
      <w:kern w:val="2"/>
      <w:sz w:val="18"/>
      <w:szCs w:val="18"/>
    </w:rPr>
  </w:style>
  <w:style w:type="character" w:customStyle="1" w:styleId="10">
    <w:name w:val="页眉 Char"/>
    <w:basedOn w:val="8"/>
    <w:link w:val="6"/>
    <w:qFormat/>
    <w:uiPriority w:val="0"/>
    <w:rPr>
      <w:rFonts w:eastAsia="仿宋_GB2312"/>
      <w:kern w:val="2"/>
      <w:sz w:val="18"/>
      <w:szCs w:val="18"/>
    </w:rPr>
  </w:style>
  <w:style w:type="character" w:customStyle="1" w:styleId="11">
    <w:name w:val="批注框文本 Char"/>
    <w:basedOn w:val="8"/>
    <w:link w:val="4"/>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2468</Words>
  <Characters>2607</Characters>
  <Lines>3</Lines>
  <Paragraphs>1</Paragraphs>
  <TotalTime>261</TotalTime>
  <ScaleCrop>false</ScaleCrop>
  <LinksUpToDate>false</LinksUpToDate>
  <CharactersWithSpaces>2607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2019-02-17T14:26:00Z</dcterms:created>
  <dc:creator>lhn</dc:creator>
  <cp:lastModifiedBy>乐乐</cp:lastModifiedBy>
  <cp:lastPrinted>2026-09-11T07:13:35Z</cp:lastPrinted>
  <dcterms:modified xsi:type="dcterms:W3CDTF">2026-09-11T07:37:06Z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BCA43D919F8A46E3920CF5B195370DF6_12</vt:lpwstr>
  </property>
  <property fmtid="{D5CDD505-2E9C-101B-9397-08002B2CF9AE}" pid="4" name="KSOTemplateDocerSaveRecord">
    <vt:lpwstr>eyJoZGlkIjoiZDAwMmFmN2QwNjI3OGZhNGMxMDZkYTQyNTRmMDYwYjEiLCJ1c2VySWQiOiIxMjM4NDEzODk4In0=</vt:lpwstr>
  </property>
</Properties>
</file>